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4408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：</w:t>
      </w:r>
    </w:p>
    <w:p w:rsidR="00000000" w:rsidRDefault="007D4408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新能源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lang/>
        </w:rPr>
        <w:t>乘用车、载货汽车</w:t>
      </w:r>
      <w:r>
        <w:rPr>
          <w:rFonts w:ascii="仿宋" w:eastAsia="仿宋" w:hAnsi="仿宋"/>
          <w:sz w:val="32"/>
          <w:szCs w:val="32"/>
        </w:rPr>
        <w:t>安全排查</w:t>
      </w:r>
      <w:r>
        <w:rPr>
          <w:rFonts w:ascii="仿宋" w:eastAsia="仿宋" w:hAnsi="仿宋" w:hint="eastAsia"/>
          <w:sz w:val="32"/>
          <w:szCs w:val="32"/>
        </w:rPr>
        <w:t>工作</w:t>
      </w:r>
      <w:r>
        <w:rPr>
          <w:rFonts w:ascii="仿宋" w:eastAsia="仿宋" w:hAnsi="仿宋"/>
          <w:sz w:val="32"/>
          <w:szCs w:val="32"/>
        </w:rPr>
        <w:t>统计表</w:t>
      </w:r>
    </w:p>
    <w:p w:rsidR="00000000" w:rsidRDefault="007D4408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企业名称：</w:t>
      </w:r>
    </w:p>
    <w:tbl>
      <w:tblPr>
        <w:tblStyle w:val="a4"/>
        <w:tblW w:w="0" w:type="auto"/>
        <w:tblInd w:w="0" w:type="dxa"/>
        <w:tblLayout w:type="fixed"/>
        <w:tblLook w:val="0000"/>
      </w:tblPr>
      <w:tblGrid>
        <w:gridCol w:w="1113"/>
        <w:gridCol w:w="30"/>
        <w:gridCol w:w="2190"/>
        <w:gridCol w:w="2085"/>
        <w:gridCol w:w="1920"/>
        <w:gridCol w:w="1686"/>
      </w:tblGrid>
      <w:tr w:rsidR="00000000"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车辆型号</w:t>
            </w:r>
          </w:p>
        </w:tc>
        <w:tc>
          <w:tcPr>
            <w:tcW w:w="5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0000"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电池型号及生产企业</w:t>
            </w:r>
          </w:p>
        </w:tc>
        <w:tc>
          <w:tcPr>
            <w:tcW w:w="5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0000"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电池单体</w:t>
            </w:r>
            <w:r>
              <w:rPr>
                <w:rFonts w:ascii="仿宋" w:eastAsia="仿宋" w:hAnsi="仿宋"/>
                <w:sz w:val="24"/>
              </w:rPr>
              <w:t>型号及生产企业</w:t>
            </w:r>
          </w:p>
        </w:tc>
        <w:tc>
          <w:tcPr>
            <w:tcW w:w="5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0000"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pStyle w:val="a3"/>
              <w:ind w:left="360" w:firstLineChars="0" w:firstLine="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BMS</w:t>
            </w:r>
            <w:r>
              <w:rPr>
                <w:rFonts w:ascii="仿宋" w:eastAsia="仿宋" w:hAnsi="仿宋" w:hint="eastAsia"/>
                <w:sz w:val="24"/>
              </w:rPr>
              <w:t>型号及生产企业</w:t>
            </w:r>
          </w:p>
        </w:tc>
        <w:tc>
          <w:tcPr>
            <w:tcW w:w="5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0000"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pStyle w:val="a3"/>
              <w:ind w:left="360" w:firstLineChars="0" w:firstLine="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电池包</w:t>
            </w:r>
            <w:r>
              <w:rPr>
                <w:rFonts w:ascii="仿宋" w:eastAsia="仿宋" w:hAnsi="仿宋" w:hint="eastAsia"/>
                <w:sz w:val="24"/>
              </w:rPr>
              <w:t>IP</w:t>
            </w:r>
            <w:r>
              <w:rPr>
                <w:rFonts w:ascii="仿宋" w:eastAsia="仿宋" w:hAnsi="仿宋" w:hint="eastAsia"/>
                <w:sz w:val="24"/>
              </w:rPr>
              <w:t>防护等级</w:t>
            </w:r>
          </w:p>
        </w:tc>
        <w:tc>
          <w:tcPr>
            <w:tcW w:w="5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0000"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使用城市</w:t>
            </w:r>
            <w:r>
              <w:rPr>
                <w:rFonts w:ascii="仿宋" w:eastAsia="仿宋" w:hAnsi="仿宋" w:hint="eastAsia"/>
                <w:sz w:val="24"/>
              </w:rPr>
              <w:t>（营运车辆填写）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0000"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运行单位</w:t>
            </w:r>
            <w:r>
              <w:rPr>
                <w:rFonts w:ascii="仿宋" w:eastAsia="仿宋" w:hAnsi="仿宋" w:hint="eastAsia"/>
                <w:sz w:val="24"/>
              </w:rPr>
              <w:t>（营运车辆填写）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0000"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数量（辆）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0000">
        <w:trPr>
          <w:trHeight w:val="417"/>
        </w:trPr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使用</w:t>
            </w:r>
          </w:p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情况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在用（辆）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0000">
        <w:trPr>
          <w:trHeight w:val="417"/>
        </w:trPr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D4408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停用（辆）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0000">
        <w:trPr>
          <w:trHeight w:val="417"/>
        </w:trPr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D4408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报废（辆）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0000">
        <w:trPr>
          <w:trHeight w:val="417"/>
        </w:trPr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里程</w:t>
            </w:r>
          </w:p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分布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  <w:r>
              <w:rPr>
                <w:rFonts w:ascii="仿宋" w:eastAsia="仿宋" w:hAnsi="仿宋"/>
                <w:sz w:val="24"/>
              </w:rPr>
              <w:t>万公里以下（辆）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0000">
        <w:trPr>
          <w:trHeight w:val="417"/>
        </w:trPr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/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  <w:r>
              <w:rPr>
                <w:rFonts w:ascii="仿宋" w:eastAsia="仿宋" w:hAnsi="仿宋"/>
                <w:sz w:val="24"/>
              </w:rPr>
              <w:t>-20</w:t>
            </w:r>
            <w:r>
              <w:rPr>
                <w:rFonts w:ascii="仿宋" w:eastAsia="仿宋" w:hAnsi="仿宋"/>
                <w:sz w:val="24"/>
              </w:rPr>
              <w:t>万公里（辆）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0000">
        <w:trPr>
          <w:trHeight w:val="417"/>
        </w:trPr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/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20-30</w:t>
            </w:r>
            <w:r>
              <w:rPr>
                <w:rFonts w:ascii="仿宋" w:eastAsia="仿宋" w:hAnsi="仿宋"/>
                <w:sz w:val="24"/>
              </w:rPr>
              <w:t>万公里（辆）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0000">
        <w:trPr>
          <w:trHeight w:val="417"/>
        </w:trPr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/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30</w:t>
            </w:r>
            <w:r>
              <w:rPr>
                <w:rFonts w:ascii="仿宋" w:eastAsia="仿宋" w:hAnsi="仿宋"/>
                <w:sz w:val="24"/>
              </w:rPr>
              <w:t>万公里以上（辆）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0000">
        <w:trPr>
          <w:trHeight w:val="417"/>
        </w:trPr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纳入企业监控平台数量（辆）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0000">
        <w:trPr>
          <w:trHeight w:val="417"/>
        </w:trPr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故障</w:t>
            </w:r>
          </w:p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情况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一级故障（个）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0000">
        <w:trPr>
          <w:trHeight w:val="417"/>
        </w:trPr>
        <w:tc>
          <w:tcPr>
            <w:tcW w:w="11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7D4408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二级故障（个）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0000">
        <w:trPr>
          <w:trHeight w:val="417"/>
        </w:trPr>
        <w:tc>
          <w:tcPr>
            <w:tcW w:w="11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D4408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三</w:t>
            </w:r>
            <w:r>
              <w:rPr>
                <w:rFonts w:ascii="仿宋" w:eastAsia="仿宋" w:hAnsi="仿宋"/>
                <w:sz w:val="24"/>
              </w:rPr>
              <w:t>级故障（个）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0000">
        <w:trPr>
          <w:trHeight w:val="417"/>
        </w:trPr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事故</w:t>
            </w:r>
          </w:p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情况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冒烟（个）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0000">
        <w:trPr>
          <w:trHeight w:val="417"/>
        </w:trPr>
        <w:tc>
          <w:tcPr>
            <w:tcW w:w="11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/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起火（个）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0000">
        <w:trPr>
          <w:trHeight w:val="417"/>
        </w:trPr>
        <w:tc>
          <w:tcPr>
            <w:tcW w:w="11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/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燃烧（个）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0000">
        <w:trPr>
          <w:trHeight w:val="417"/>
        </w:trPr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事故原因</w:t>
            </w:r>
          </w:p>
        </w:tc>
        <w:tc>
          <w:tcPr>
            <w:tcW w:w="5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4408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附调查分析报告（注）</w:t>
            </w:r>
          </w:p>
          <w:p w:rsidR="00000000" w:rsidRDefault="007D4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000000" w:rsidRDefault="007D4408">
      <w:r>
        <w:rPr>
          <w:rFonts w:ascii="仿宋" w:eastAsia="仿宋" w:hAnsi="仿宋"/>
          <w:sz w:val="24"/>
        </w:rPr>
        <w:t xml:space="preserve"> 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z w:val="24"/>
        </w:rPr>
        <w:t>注：调查分析报告应包括三个方面：</w:t>
      </w:r>
      <w:r>
        <w:rPr>
          <w:rFonts w:ascii="仿宋" w:eastAsia="仿宋" w:hAnsi="仿宋"/>
          <w:sz w:val="24"/>
        </w:rPr>
        <w:t>1.</w:t>
      </w:r>
      <w:r>
        <w:rPr>
          <w:rFonts w:ascii="仿宋" w:eastAsia="仿宋" w:hAnsi="仿宋"/>
          <w:sz w:val="24"/>
        </w:rPr>
        <w:t>电池情况。电池型号</w:t>
      </w:r>
      <w:r>
        <w:rPr>
          <w:rFonts w:ascii="仿宋" w:eastAsia="仿宋" w:hAnsi="仿宋" w:hint="eastAsia"/>
          <w:sz w:val="24"/>
        </w:rPr>
        <w:t>及类型、</w:t>
      </w:r>
      <w:r>
        <w:rPr>
          <w:rFonts w:ascii="仿宋" w:eastAsia="仿宋" w:hAnsi="仿宋"/>
          <w:sz w:val="24"/>
        </w:rPr>
        <w:t>生产企业、生产批次，电池管理系统</w:t>
      </w:r>
      <w:r>
        <w:rPr>
          <w:rFonts w:ascii="仿宋" w:eastAsia="仿宋" w:hAnsi="仿宋" w:hint="eastAsia"/>
          <w:sz w:val="24"/>
        </w:rPr>
        <w:t>生产企业及</w:t>
      </w:r>
      <w:r>
        <w:rPr>
          <w:rFonts w:ascii="仿宋" w:eastAsia="仿宋" w:hAnsi="仿宋"/>
          <w:sz w:val="24"/>
        </w:rPr>
        <w:t>版本号</w:t>
      </w:r>
      <w:r>
        <w:rPr>
          <w:rFonts w:ascii="仿宋" w:eastAsia="仿宋" w:hAnsi="仿宋" w:hint="eastAsia"/>
          <w:sz w:val="24"/>
        </w:rPr>
        <w:t>、是否符合功能安全设计要求以及达到的</w:t>
      </w:r>
      <w:r>
        <w:rPr>
          <w:rFonts w:ascii="仿宋" w:eastAsia="仿宋" w:hAnsi="仿宋" w:hint="eastAsia"/>
          <w:sz w:val="24"/>
        </w:rPr>
        <w:t>ASIL</w:t>
      </w:r>
      <w:r>
        <w:rPr>
          <w:rFonts w:ascii="仿宋" w:eastAsia="仿宋" w:hAnsi="仿宋" w:hint="eastAsia"/>
          <w:sz w:val="24"/>
        </w:rPr>
        <w:t>等级，电池</w:t>
      </w:r>
      <w:r>
        <w:rPr>
          <w:rFonts w:ascii="仿宋" w:eastAsia="仿宋" w:hAnsi="仿宋" w:hint="eastAsia"/>
          <w:sz w:val="24"/>
        </w:rPr>
        <w:t>pack</w:t>
      </w:r>
      <w:r>
        <w:rPr>
          <w:rFonts w:ascii="仿宋" w:eastAsia="仿宋" w:hAnsi="仿宋" w:hint="eastAsia"/>
          <w:sz w:val="24"/>
        </w:rPr>
        <w:t>型号、</w:t>
      </w:r>
      <w:r>
        <w:rPr>
          <w:rFonts w:ascii="仿宋" w:eastAsia="仿宋" w:hAnsi="仿宋" w:hint="eastAsia"/>
          <w:sz w:val="24"/>
        </w:rPr>
        <w:t>IP</w:t>
      </w:r>
      <w:r>
        <w:rPr>
          <w:rFonts w:ascii="仿宋" w:eastAsia="仿宋" w:hAnsi="仿宋" w:hint="eastAsia"/>
          <w:sz w:val="24"/>
        </w:rPr>
        <w:t>防护等级、生产企业，</w:t>
      </w:r>
      <w:r>
        <w:rPr>
          <w:rFonts w:ascii="仿宋" w:eastAsia="仿宋" w:hAnsi="仿宋"/>
          <w:sz w:val="24"/>
        </w:rPr>
        <w:t>电池箱的数量、分布、冷却方式、灭火措施等；</w:t>
      </w:r>
      <w:r>
        <w:rPr>
          <w:rFonts w:ascii="仿宋" w:eastAsia="仿宋" w:hAnsi="仿宋"/>
          <w:sz w:val="24"/>
        </w:rPr>
        <w:t>2.</w:t>
      </w:r>
      <w:r>
        <w:rPr>
          <w:rFonts w:ascii="仿宋" w:eastAsia="仿宋" w:hAnsi="仿宋"/>
          <w:sz w:val="24"/>
        </w:rPr>
        <w:t>情况介绍和分析。车辆生产、销售和上牌日期，里程表</w:t>
      </w:r>
      <w:r>
        <w:rPr>
          <w:rFonts w:ascii="仿宋" w:eastAsia="仿宋" w:hAnsi="仿宋"/>
          <w:sz w:val="24"/>
        </w:rPr>
        <w:t>读数，事故发生时车辆状态（行驶、停放、充电</w:t>
      </w:r>
      <w:r>
        <w:rPr>
          <w:rFonts w:ascii="仿宋" w:eastAsia="仿宋" w:hAnsi="仿宋" w:hint="eastAsia"/>
          <w:sz w:val="24"/>
        </w:rPr>
        <w:t>中、</w:t>
      </w:r>
      <w:r>
        <w:rPr>
          <w:rFonts w:ascii="仿宋" w:eastAsia="仿宋" w:hAnsi="仿宋"/>
          <w:sz w:val="24"/>
        </w:rPr>
        <w:t>充电后</w:t>
      </w:r>
      <w:r>
        <w:rPr>
          <w:rFonts w:ascii="仿宋" w:eastAsia="仿宋" w:hAnsi="仿宋" w:hint="eastAsia"/>
          <w:sz w:val="24"/>
        </w:rPr>
        <w:t>、碰撞</w:t>
      </w:r>
      <w:r>
        <w:rPr>
          <w:rFonts w:ascii="仿宋" w:eastAsia="仿宋" w:hAnsi="仿宋"/>
          <w:sz w:val="24"/>
        </w:rPr>
        <w:t>），</w:t>
      </w:r>
      <w:r>
        <w:rPr>
          <w:rFonts w:ascii="仿宋" w:eastAsia="仿宋" w:hAnsi="仿宋" w:hint="eastAsia"/>
          <w:sz w:val="24"/>
        </w:rPr>
        <w:t>事故发生前是否发生过碰撞、泡水、暴雨、洗车等情况，</w:t>
      </w:r>
      <w:r>
        <w:rPr>
          <w:rFonts w:ascii="仿宋" w:eastAsia="仿宋" w:hAnsi="仿宋"/>
          <w:sz w:val="24"/>
        </w:rPr>
        <w:t>监控平台显示的故障报警信息，车辆受损情况（全车过火，</w:t>
      </w:r>
      <w:r>
        <w:rPr>
          <w:rFonts w:ascii="仿宋" w:eastAsia="仿宋" w:hAnsi="仿宋"/>
          <w:sz w:val="24"/>
        </w:rPr>
        <w:lastRenderedPageBreak/>
        <w:t>电池仓过火，金属护板及非金属件损毁、轻微过火、烟熏），采取的灭火措施（报警处理、自行灭火、未处理、切断高压回路），车辆处理情况（车体修复、更换电池，继续使用或报废），事故原因分析，整改措施，应急预案；</w:t>
      </w:r>
      <w:r>
        <w:rPr>
          <w:rFonts w:ascii="仿宋" w:eastAsia="仿宋" w:hAnsi="仿宋"/>
          <w:sz w:val="24"/>
        </w:rPr>
        <w:t>3.</w:t>
      </w:r>
      <w:r>
        <w:rPr>
          <w:rFonts w:ascii="仿宋" w:eastAsia="仿宋" w:hAnsi="仿宋"/>
          <w:sz w:val="24"/>
        </w:rPr>
        <w:t>管理系统说明。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/>
          <w:sz w:val="24"/>
        </w:rPr>
        <w:t>软件介绍、安全控制策略，故障报警分级，电池箱传感器分布、</w:t>
      </w:r>
      <w:r>
        <w:rPr>
          <w:rFonts w:ascii="仿宋" w:eastAsia="仿宋" w:hAnsi="仿宋"/>
          <w:sz w:val="24"/>
        </w:rPr>
        <w:t>SOC</w:t>
      </w:r>
      <w:r>
        <w:rPr>
          <w:rFonts w:ascii="仿宋" w:eastAsia="仿宋" w:hAnsi="仿宋"/>
          <w:sz w:val="24"/>
        </w:rPr>
        <w:t>估算方式、充电方式及充电管理（握手协议）、信息采集方式及与车辆控制</w:t>
      </w:r>
      <w:r>
        <w:rPr>
          <w:rFonts w:ascii="仿宋" w:eastAsia="仿宋" w:hAnsi="仿宋"/>
          <w:sz w:val="24"/>
        </w:rPr>
        <w:t>系统的通讯，主控制策略（报警时</w:t>
      </w:r>
      <w:r>
        <w:rPr>
          <w:rFonts w:ascii="仿宋" w:eastAsia="仿宋" w:hAnsi="仿宋"/>
          <w:sz w:val="24"/>
        </w:rPr>
        <w:t>BMS</w:t>
      </w:r>
      <w:r>
        <w:rPr>
          <w:rFonts w:ascii="仿宋" w:eastAsia="仿宋" w:hAnsi="仿宋"/>
          <w:sz w:val="24"/>
        </w:rPr>
        <w:t>与</w:t>
      </w:r>
      <w:r>
        <w:rPr>
          <w:rFonts w:ascii="仿宋" w:eastAsia="仿宋" w:hAnsi="仿宋"/>
          <w:sz w:val="24"/>
        </w:rPr>
        <w:t>VCM</w:t>
      </w:r>
      <w:r>
        <w:rPr>
          <w:rFonts w:ascii="仿宋" w:eastAsia="仿宋" w:hAnsi="仿宋"/>
          <w:sz w:val="24"/>
        </w:rPr>
        <w:t>关系）等。</w:t>
      </w:r>
    </w:p>
    <w:p w:rsidR="00000000" w:rsidRDefault="007D4408">
      <w:pPr>
        <w:pStyle w:val="a3"/>
        <w:ind w:left="360" w:firstLineChars="0" w:firstLine="0"/>
      </w:pPr>
    </w:p>
    <w:p w:rsidR="00000000" w:rsidRDefault="007D4408">
      <w:pPr>
        <w:widowControl/>
        <w:spacing w:line="360" w:lineRule="atLeast"/>
        <w:rPr>
          <w:rFonts w:ascii="仿宋" w:eastAsia="仿宋" w:hAnsi="仿宋" w:cs="仿宋" w:hint="eastAsia"/>
          <w:color w:val="333333"/>
          <w:kern w:val="0"/>
          <w:sz w:val="32"/>
          <w:szCs w:val="32"/>
          <w:lang/>
        </w:rPr>
      </w:pPr>
    </w:p>
    <w:p w:rsidR="007D4408" w:rsidRDefault="007D4408"/>
    <w:sectPr w:rsidR="007D4408">
      <w:pgSz w:w="11906" w:h="16838"/>
      <w:pgMar w:top="1928" w:right="1474" w:bottom="181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408" w:rsidRDefault="007D4408" w:rsidP="002C7D92">
      <w:r>
        <w:separator/>
      </w:r>
    </w:p>
  </w:endnote>
  <w:endnote w:type="continuationSeparator" w:id="0">
    <w:p w:rsidR="007D4408" w:rsidRDefault="007D4408" w:rsidP="002C7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408" w:rsidRDefault="007D4408" w:rsidP="002C7D92">
      <w:r>
        <w:separator/>
      </w:r>
    </w:p>
  </w:footnote>
  <w:footnote w:type="continuationSeparator" w:id="0">
    <w:p w:rsidR="007D4408" w:rsidRDefault="007D4408" w:rsidP="002C7D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D92"/>
    <w:rsid w:val="002C7D92"/>
    <w:rsid w:val="007D4408"/>
    <w:rsid w:val="7ED6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7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table" w:styleId="a4">
    <w:name w:val="Table Grid"/>
    <w:basedOn w:val="a1"/>
    <w:uiPriority w:val="37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2C7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C7D92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2C7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C7D9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2018-09-26T02:37:00Z</dcterms:created>
  <dcterms:modified xsi:type="dcterms:W3CDTF">2018-09-26T02:37:00Z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